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7A" w:rsidRDefault="00DC09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097A" w:rsidRDefault="00DC097A">
      <w:pPr>
        <w:pStyle w:val="ConsPlusNormal"/>
        <w:jc w:val="both"/>
        <w:outlineLvl w:val="0"/>
      </w:pPr>
    </w:p>
    <w:p w:rsidR="00DC097A" w:rsidRDefault="00DC097A">
      <w:pPr>
        <w:pStyle w:val="ConsPlusNormal"/>
        <w:outlineLvl w:val="0"/>
      </w:pPr>
      <w:r>
        <w:t>Зарегистрировано в Администрации Губернатора Калужской обл. 22 октября 2018 г. N 7946</w:t>
      </w:r>
    </w:p>
    <w:p w:rsidR="00DC097A" w:rsidRDefault="00DC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Title"/>
        <w:jc w:val="center"/>
      </w:pPr>
      <w:r>
        <w:t>КАЛУЖСКАЯ ОБЛАСТЬ</w:t>
      </w:r>
    </w:p>
    <w:p w:rsidR="00DC097A" w:rsidRDefault="00DC097A">
      <w:pPr>
        <w:pStyle w:val="ConsPlusTitle"/>
        <w:jc w:val="center"/>
      </w:pPr>
      <w:r>
        <w:t>МИНИСТЕРСТВО КОНКУРЕНТНОЙ ПОЛИТИКИ</w:t>
      </w:r>
    </w:p>
    <w:p w:rsidR="00DC097A" w:rsidRDefault="00DC097A">
      <w:pPr>
        <w:pStyle w:val="ConsPlusTitle"/>
        <w:jc w:val="both"/>
      </w:pPr>
    </w:p>
    <w:p w:rsidR="00DC097A" w:rsidRDefault="00DC097A">
      <w:pPr>
        <w:pStyle w:val="ConsPlusTitle"/>
        <w:jc w:val="center"/>
      </w:pPr>
      <w:r>
        <w:t>ПРИКАЗ</w:t>
      </w:r>
    </w:p>
    <w:p w:rsidR="00DC097A" w:rsidRDefault="00DC097A">
      <w:pPr>
        <w:pStyle w:val="ConsPlusTitle"/>
        <w:jc w:val="center"/>
      </w:pPr>
      <w:r>
        <w:t>от 1 октября 2018 г. N 97-РК</w:t>
      </w:r>
    </w:p>
    <w:p w:rsidR="00DC097A" w:rsidRDefault="00DC097A">
      <w:pPr>
        <w:pStyle w:val="ConsPlusTitle"/>
        <w:jc w:val="both"/>
      </w:pPr>
    </w:p>
    <w:p w:rsidR="00DC097A" w:rsidRDefault="00DC097A">
      <w:pPr>
        <w:pStyle w:val="ConsPlusTitle"/>
        <w:jc w:val="center"/>
      </w:pPr>
      <w:r>
        <w:t>ОБ УТВЕРЖДЕНИИ ТАРИФОВ НА СОЦИАЛЬНЫЕ УСЛУГИ, ВКЛЮЧЕННЫЕ</w:t>
      </w:r>
    </w:p>
    <w:p w:rsidR="00DC097A" w:rsidRDefault="00DC097A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DC097A" w:rsidRDefault="00DC097A">
      <w:pPr>
        <w:pStyle w:val="ConsPlusTitle"/>
        <w:jc w:val="center"/>
      </w:pPr>
      <w:r>
        <w:t>СОЦИАЛЬНЫХ УСЛУГ В КАЛУЖСКОЙ ОБЛАСТИ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 перечне социальных услуг, предоставляемых поставщиками социальных услуг в Калужской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13.11.2014 N 661 "Об установлении Порядка утверждения тарифов на социальные услуги на основании подушевых нормативов финансирования социальных услуг" (в редакции постановления Правительства Калужской области от 27.08.2015 N 488</w:t>
      </w:r>
      <w:proofErr w:type="gramEnd"/>
      <w:r>
        <w:t xml:space="preserve">), </w:t>
      </w:r>
      <w:hyperlink r:id="rId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06.10.2016 N 539 "О реорганизации министерства конкурентной политики Калужской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редакции постановлений Правительства Калужской области от 07.06.2007 N 145, от 06.09.2007 N 214, от 09.11.2007 N 285, от 22.04.2008 N 171, от 09.09.2010 N 355, от 17.01.2011 N 12, от</w:t>
      </w:r>
      <w:proofErr w:type="gramEnd"/>
      <w:r>
        <w:t xml:space="preserve"> </w:t>
      </w:r>
      <w:proofErr w:type="gramStart"/>
      <w:r>
        <w:t>24.01.2012 N 20, от 02.05.2012 N 221, от 05.06.2012 N 278, от 17.12.2012 N 627, от 01.03.2013 N 112, от 02.08.2013 N 403, от 26.02.2014 N 128, от 26.03.2014 N 196, от 01.02.2016 N 62, от 18.05.2016 N 294, от 16.11.2016 N 617, от 18.01.2017 N 26, от 29.03.2017 N 173, от 26.07.2017 N 425, от 31.10.2017 N 623, от</w:t>
      </w:r>
      <w:proofErr w:type="gramEnd"/>
      <w:r>
        <w:t xml:space="preserve"> </w:t>
      </w:r>
      <w:proofErr w:type="gramStart"/>
      <w:r>
        <w:t>06.12.2017 N 714, от 18.12.2017 N 748, от 05.02.2018 N 81, от 30.08.2018 N 523), на основании протокола заседания комиссии по тарифам и ценам министерства конкурентной политики Калужской области от 01.10.2018</w:t>
      </w:r>
      <w:proofErr w:type="gramEnd"/>
    </w:p>
    <w:p w:rsidR="00DC097A" w:rsidRDefault="00DC097A">
      <w:pPr>
        <w:pStyle w:val="ConsPlusNormal"/>
        <w:spacing w:before="220"/>
        <w:ind w:firstLine="540"/>
        <w:jc w:val="both"/>
      </w:pPr>
      <w:r>
        <w:t>ПРИКАЗЫВАЮ: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социальные услуги, включенные в перечень социальных услуг, предоставляемых поставщиками социальных услуг в Калужской области, согласно приложению к настоящему Приказу.</w:t>
      </w:r>
    </w:p>
    <w:p w:rsidR="00DC097A" w:rsidRDefault="00DC09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приказа министерства конкурентной политики Калужской области от 07.11.2017 N 109-РК "Об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области".</w:t>
      </w:r>
    </w:p>
    <w:p w:rsidR="00DC097A" w:rsidRDefault="00DC097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right"/>
      </w:pPr>
      <w:r>
        <w:t>Министр</w:t>
      </w:r>
    </w:p>
    <w:p w:rsidR="00DC097A" w:rsidRDefault="00DC097A">
      <w:pPr>
        <w:pStyle w:val="ConsPlusNormal"/>
        <w:jc w:val="right"/>
      </w:pPr>
      <w:r>
        <w:t>Н.В.Владимиров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right"/>
        <w:outlineLvl w:val="0"/>
      </w:pPr>
      <w:r>
        <w:t>Приложение</w:t>
      </w:r>
    </w:p>
    <w:p w:rsidR="00DC097A" w:rsidRDefault="00DC097A">
      <w:pPr>
        <w:pStyle w:val="ConsPlusNormal"/>
        <w:jc w:val="right"/>
      </w:pPr>
      <w:r>
        <w:t>к Приказу</w:t>
      </w:r>
    </w:p>
    <w:p w:rsidR="00DC097A" w:rsidRDefault="00DC097A">
      <w:pPr>
        <w:pStyle w:val="ConsPlusNormal"/>
        <w:jc w:val="right"/>
      </w:pPr>
      <w:r>
        <w:t>министерства конкурентной политики</w:t>
      </w:r>
    </w:p>
    <w:p w:rsidR="00DC097A" w:rsidRDefault="00DC097A">
      <w:pPr>
        <w:pStyle w:val="ConsPlusNormal"/>
        <w:jc w:val="right"/>
      </w:pPr>
      <w:r>
        <w:t>Калужской области</w:t>
      </w:r>
    </w:p>
    <w:p w:rsidR="00DC097A" w:rsidRDefault="00DC097A">
      <w:pPr>
        <w:pStyle w:val="ConsPlusNormal"/>
        <w:jc w:val="right"/>
      </w:pPr>
      <w:r>
        <w:t>от 1 октября 2018 г. N 97-РК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Title"/>
        <w:jc w:val="center"/>
      </w:pPr>
      <w:bookmarkStart w:id="0" w:name="P34"/>
      <w:bookmarkEnd w:id="0"/>
      <w:r>
        <w:t>ТАРИФЫ</w:t>
      </w:r>
    </w:p>
    <w:p w:rsidR="00DC097A" w:rsidRDefault="00DC097A">
      <w:pPr>
        <w:pStyle w:val="ConsPlusTitle"/>
        <w:jc w:val="center"/>
      </w:pPr>
      <w:r>
        <w:t xml:space="preserve">НА СОЦИАЛЬНЫЕ УСЛУГИ, ВКЛЮЧЕННЫЕ В ПЕРЕЧЕНЬ </w:t>
      </w:r>
      <w:proofErr w:type="gramStart"/>
      <w:r>
        <w:t>СОЦИАЛЬНЫХ</w:t>
      </w:r>
      <w:proofErr w:type="gramEnd"/>
    </w:p>
    <w:p w:rsidR="00DC097A" w:rsidRDefault="00DC097A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DC097A" w:rsidRDefault="00DC097A">
      <w:pPr>
        <w:pStyle w:val="ConsPlusTitle"/>
        <w:jc w:val="center"/>
      </w:pPr>
      <w:r>
        <w:t>В КАЛУЖСКОЙ ОБЛАСТИ</w:t>
      </w:r>
    </w:p>
    <w:p w:rsidR="00DC097A" w:rsidRDefault="00DC097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726"/>
        <w:gridCol w:w="1587"/>
        <w:gridCol w:w="1077"/>
      </w:tblGrid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center"/>
            </w:pPr>
            <w:r>
              <w:t>Уровень тарифа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center"/>
            </w:pPr>
            <w:r>
              <w:t>4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proofErr w:type="gramStart"/>
            <w:r>
              <w:t>Социально-бытовые услуги в стационарной и полустационарной формах социального обслуживания</w:t>
            </w:r>
            <w:proofErr w:type="gramEnd"/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деятельности, культурно-бытового обслуживания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221,80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136,80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144,40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597,10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112,30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369,60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295,40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332,40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258,60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376,80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251,90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88,40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  <w:vMerge w:val="restart"/>
          </w:tcPr>
          <w:p w:rsidR="00DC097A" w:rsidRDefault="00DC097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726" w:type="dxa"/>
            <w:vMerge w:val="restart"/>
          </w:tcPr>
          <w:p w:rsidR="00DC097A" w:rsidRDefault="00DC097A">
            <w:pPr>
              <w:pStyle w:val="ConsPlusNormal"/>
            </w:pPr>
            <w:r>
              <w:t xml:space="preserve">Обеспечение мягким </w:t>
            </w:r>
            <w:proofErr w:type="gramStart"/>
            <w:r>
              <w:t>инвентарем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119,20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119,10 </w:t>
            </w:r>
            <w:hyperlink w:anchor="P3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185,40 </w:t>
            </w:r>
            <w:hyperlink w:anchor="P3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209,90 </w:t>
            </w:r>
            <w:hyperlink w:anchor="P31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105,80 </w:t>
            </w:r>
            <w:hyperlink w:anchor="P31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101,10 </w:t>
            </w:r>
            <w:hyperlink w:anchor="P32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097A">
        <w:tc>
          <w:tcPr>
            <w:tcW w:w="664" w:type="dxa"/>
            <w:vMerge/>
          </w:tcPr>
          <w:p w:rsidR="00DC097A" w:rsidRDefault="00DC097A"/>
        </w:tc>
        <w:tc>
          <w:tcPr>
            <w:tcW w:w="5726" w:type="dxa"/>
            <w:vMerge/>
          </w:tcPr>
          <w:p w:rsidR="00DC097A" w:rsidRDefault="00DC097A"/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 xml:space="preserve">43,30 </w:t>
            </w:r>
            <w:hyperlink w:anchor="P32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79,20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рублей/час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277,90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13264,50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Создание условий для отправления религиозных обрядов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 форме социального обслуживания на дому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57,60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39,70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34,70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33,00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89,00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24,60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482,10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55,60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390" w:type="dxa"/>
            <w:gridSpan w:val="3"/>
          </w:tcPr>
          <w:p w:rsidR="00DC097A" w:rsidRDefault="00DC097A">
            <w:pPr>
              <w:pStyle w:val="ConsPlusNormal"/>
              <w:jc w:val="center"/>
            </w:pPr>
            <w:r>
              <w:t>Социально-бытовые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147,70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163,70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26,20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2. Социально-медицинские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другое)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41,00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30,10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39,40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109,20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первичной медико-санитарной помощи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62,90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101,70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3. Социально-психологические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психологической коррекции и психологических тренингов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81,50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49,90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73,20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4. Социально-педагогические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168,50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121,40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202,10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297,80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261,90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воспитания и организация обучения детей-сирот, детей, 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104,60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 xml:space="preserve">Организация профессионального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профессиональной подготовки и переподготовки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321,60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5. Социально-трудовые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рублей/день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82,90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128,00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137,00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6. Социально-правовые услуги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189,50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168,20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225,30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восстановлении утраченных родственных связей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227,40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48,30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101,90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80,00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76,40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164,10</w:t>
            </w:r>
          </w:p>
        </w:tc>
      </w:tr>
      <w:tr w:rsidR="00DC097A">
        <w:tc>
          <w:tcPr>
            <w:tcW w:w="9054" w:type="dxa"/>
            <w:gridSpan w:val="4"/>
          </w:tcPr>
          <w:p w:rsidR="00DC097A" w:rsidRDefault="00DC097A">
            <w:pPr>
              <w:pStyle w:val="ConsPlusNormal"/>
              <w:jc w:val="center"/>
              <w:outlineLvl w:val="1"/>
            </w:pPr>
            <w:r>
              <w:t>8. Срочные социальные услуги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85,70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62,80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85,00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65,00</w:t>
            </w:r>
          </w:p>
        </w:tc>
      </w:tr>
      <w:tr w:rsidR="00DC097A">
        <w:tc>
          <w:tcPr>
            <w:tcW w:w="664" w:type="dxa"/>
          </w:tcPr>
          <w:p w:rsidR="00DC097A" w:rsidRDefault="00DC097A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726" w:type="dxa"/>
          </w:tcPr>
          <w:p w:rsidR="00DC097A" w:rsidRDefault="00DC097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87" w:type="dxa"/>
          </w:tcPr>
          <w:p w:rsidR="00DC097A" w:rsidRDefault="00DC097A">
            <w:pPr>
              <w:pStyle w:val="ConsPlusNormal"/>
            </w:pPr>
            <w:r>
              <w:t>рублей/услуга</w:t>
            </w:r>
          </w:p>
        </w:tc>
        <w:tc>
          <w:tcPr>
            <w:tcW w:w="1077" w:type="dxa"/>
          </w:tcPr>
          <w:p w:rsidR="00DC097A" w:rsidRDefault="00DC097A">
            <w:pPr>
              <w:pStyle w:val="ConsPlusNormal"/>
              <w:jc w:val="right"/>
            </w:pPr>
            <w:r>
              <w:t>65,50</w:t>
            </w:r>
          </w:p>
        </w:tc>
      </w:tr>
    </w:tbl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ind w:firstLine="540"/>
        <w:jc w:val="both"/>
      </w:pPr>
      <w:r>
        <w:t>--------------------------------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1" w:name="P315"/>
      <w:bookmarkEnd w:id="1"/>
      <w:r>
        <w:t>&lt;1</w:t>
      </w:r>
      <w:proofErr w:type="gramStart"/>
      <w:r>
        <w:t>&gt; Д</w:t>
      </w:r>
      <w:proofErr w:type="gramEnd"/>
      <w:r>
        <w:t>ля домов-интернатов для престарелых и инвалидов.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2" w:name="P316"/>
      <w:bookmarkEnd w:id="2"/>
      <w:r>
        <w:t>&lt;2</w:t>
      </w:r>
      <w:proofErr w:type="gramStart"/>
      <w:r>
        <w:t>&gt; Д</w:t>
      </w:r>
      <w:proofErr w:type="gramEnd"/>
      <w:r>
        <w:t>ля психоневрологических интернатов.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3" w:name="P317"/>
      <w:bookmarkEnd w:id="3"/>
      <w:r>
        <w:t>&lt;3</w:t>
      </w:r>
      <w:proofErr w:type="gramStart"/>
      <w:r>
        <w:t>&gt; Д</w:t>
      </w:r>
      <w:proofErr w:type="gramEnd"/>
      <w:r>
        <w:t>ля центров социальной помощи для лиц без определенного места жительства и занятий.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4" w:name="P318"/>
      <w:bookmarkEnd w:id="4"/>
      <w:r>
        <w:t>&lt;4</w:t>
      </w:r>
      <w:proofErr w:type="gramStart"/>
      <w:r>
        <w:t>&gt; Д</w:t>
      </w:r>
      <w:proofErr w:type="gramEnd"/>
      <w:r>
        <w:t>ля детских домов-интернатов для умственно отсталых детей.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5" w:name="P319"/>
      <w:bookmarkEnd w:id="5"/>
      <w:r>
        <w:t>&lt;5</w:t>
      </w:r>
      <w:proofErr w:type="gramStart"/>
      <w:r>
        <w:t>&gt; Д</w:t>
      </w:r>
      <w:proofErr w:type="gramEnd"/>
      <w:r>
        <w:t>ля реабилитационных центров для инвалидов.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6" w:name="P320"/>
      <w:bookmarkEnd w:id="6"/>
      <w:r>
        <w:t>&lt;6</w:t>
      </w:r>
      <w:proofErr w:type="gramStart"/>
      <w:r>
        <w:t>&gt; Д</w:t>
      </w:r>
      <w:proofErr w:type="gramEnd"/>
      <w:r>
        <w:t>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7" w:name="P321"/>
      <w:bookmarkEnd w:id="7"/>
      <w:r>
        <w:t>&lt;7</w:t>
      </w:r>
      <w:proofErr w:type="gramStart"/>
      <w:r>
        <w:t>&gt; Д</w:t>
      </w:r>
      <w:proofErr w:type="gramEnd"/>
      <w:r>
        <w:t>ля специальных домов-интернатов.</w:t>
      </w:r>
    </w:p>
    <w:p w:rsidR="00DC097A" w:rsidRDefault="00DC097A">
      <w:pPr>
        <w:pStyle w:val="ConsPlusNormal"/>
        <w:spacing w:before="220"/>
        <w:ind w:firstLine="540"/>
        <w:jc w:val="both"/>
      </w:pPr>
      <w:bookmarkStart w:id="8" w:name="P322"/>
      <w:bookmarkEnd w:id="8"/>
      <w:r>
        <w:t>&lt;8</w:t>
      </w:r>
      <w:proofErr w:type="gramStart"/>
      <w:r>
        <w:t>&gt; Д</w:t>
      </w:r>
      <w:proofErr w:type="gramEnd"/>
      <w:r>
        <w:t>ля других поставщиков социальных услуг.</w:t>
      </w: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jc w:val="both"/>
      </w:pPr>
    </w:p>
    <w:p w:rsidR="00DC097A" w:rsidRDefault="00DC0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63A" w:rsidRDefault="003F463A"/>
    <w:sectPr w:rsidR="003F463A" w:rsidSect="004B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3F463A"/>
    <w:rsid w:val="00D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68E9BE0DC4085F02E3929186ABE31ABFCCA81C3EC0081D2ED62876C0BFB0AE4CED788C8007DF0AAE740005B413BA4CD2DB379AE4CE4CD4973498DK9F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68E9BE0DC4085F02E3929186ABE31ABFCCA81CAEC0584D2E03F8D6452F708E3C1888DCF117DF1ACF941004C486FF4K8F1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68E9BE0DC4085F02E27240E06E03FAEFF9D85C2EA0CD38CBF64D0335BFD5FB68E89D18B426EF0ABF9420153K4F2H" TargetMode="External"/><Relationship Id="rId11" Type="http://schemas.openxmlformats.org/officeDocument/2006/relationships/hyperlink" Target="consultantplus://offline/ref=9A168E9BE0DC4085F02E3929186ABE31ABFCCA81C3ED0F80D8EE62876C0BFB0AE4CED788C8007DF0AAE7400155413BA4CD2DB379AE4CE4CD4973498DK9F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168E9BE0DC4085F02E3929186ABE31ABFCCA81C3EC0085D9E362876C0BFB0AE4CED788DA0025FCAAE15E0053546DF588K7F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68E9BE0DC4085F02E3929186ABE31ABFCCA81CBEA0E82D9E03F8D6452F708E3C1888DCF117DF1ACF941004C486FF4K8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/>
  <cp:revision>1</cp:revision>
  <dcterms:created xsi:type="dcterms:W3CDTF">2018-11-06T07:05:00Z</dcterms:created>
</cp:coreProperties>
</file>